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Pr>
          <w:rFonts w:hint="eastAsia" w:ascii="Arial" w:hAnsi="Arial" w:cs="Arial"/>
          <w:b/>
          <w:color w:val="000000"/>
          <w:sz w:val="24"/>
          <w:szCs w:val="24"/>
        </w:rPr>
        <w:t>R4-2205397</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February 21 – March 3,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Discussions on latency reduction of positioning measurement</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10.21.2.2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RAN4 101-e-bis, there were discussions on latency reduction for positioning enhancement.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rFonts w:eastAsiaTheme="minorEastAsia"/>
                <w:b/>
                <w:bCs/>
                <w:iCs/>
                <w:u w:val="single"/>
                <w:lang w:val="en-US" w:eastAsia="zh-CN"/>
              </w:rPr>
            </w:pPr>
            <w:r>
              <w:rPr>
                <w:rFonts w:eastAsiaTheme="minorEastAsia"/>
                <w:b/>
                <w:bCs/>
                <w:iCs/>
                <w:u w:val="single"/>
                <w:lang w:val="en-US" w:eastAsia="zh-CN"/>
              </w:rPr>
              <w:t>Issue 1-1-2: One or more conditions under which samples for AGC is reduced or not required for PRS measurements</w:t>
            </w:r>
          </w:p>
          <w:p>
            <w:pPr>
              <w:rPr>
                <w:rFonts w:eastAsiaTheme="minorEastAsia"/>
                <w:b/>
                <w:bCs/>
                <w:i/>
                <w:u w:val="single"/>
                <w:lang w:val="en-US" w:eastAsia="zh-CN"/>
              </w:rPr>
            </w:pPr>
            <w:r>
              <w:rPr>
                <w:rFonts w:eastAsiaTheme="minorEastAsia"/>
                <w:b/>
                <w:bCs/>
                <w:i/>
                <w:u w:val="single"/>
                <w:lang w:val="en-US" w:eastAsia="zh-CN"/>
              </w:rPr>
              <w:t>A</w:t>
            </w:r>
            <w:r>
              <w:rPr>
                <w:rFonts w:hint="eastAsia" w:eastAsiaTheme="minorEastAsia"/>
                <w:b/>
                <w:bCs/>
                <w:i/>
                <w:u w:val="single"/>
                <w:lang w:val="en-US" w:eastAsia="zh-CN"/>
              </w:rPr>
              <w:t>greements:</w:t>
            </w:r>
          </w:p>
          <w:p>
            <w:pPr>
              <w:numPr>
                <w:ilvl w:val="0"/>
                <w:numId w:val="6"/>
              </w:numPr>
              <w:spacing w:after="120" w:line="252" w:lineRule="auto"/>
              <w:rPr>
                <w:rFonts w:eastAsia="MS Mincho"/>
                <w:bCs/>
              </w:rPr>
            </w:pPr>
            <w:r>
              <w:rPr>
                <w:rFonts w:eastAsia="MS Mincho"/>
                <w:bCs/>
              </w:rPr>
              <w:t>Additional samples for AGC for PRS measurements are not required in case at least one of the following conditions is met</w:t>
            </w:r>
          </w:p>
          <w:p>
            <w:pPr>
              <w:numPr>
                <w:ilvl w:val="1"/>
                <w:numId w:val="6"/>
              </w:numPr>
              <w:spacing w:after="120" w:line="252" w:lineRule="auto"/>
              <w:rPr>
                <w:rFonts w:eastAsia="MS Mincho"/>
                <w:bCs/>
              </w:rPr>
            </w:pPr>
            <w:r>
              <w:rPr>
                <w:rFonts w:eastAsia="MS Mincho"/>
                <w:bCs/>
              </w:rPr>
              <w:t xml:space="preserve">Condition #1: </w:t>
            </w:r>
          </w:p>
          <w:p>
            <w:pPr>
              <w:numPr>
                <w:ilvl w:val="2"/>
                <w:numId w:val="6"/>
              </w:numPr>
              <w:spacing w:after="120" w:line="252" w:lineRule="auto"/>
              <w:rPr>
                <w:rFonts w:eastAsia="MS Mincho"/>
                <w:bCs/>
              </w:rPr>
            </w:pPr>
            <w:r>
              <w:rPr>
                <w:rFonts w:eastAsia="MS Mincho"/>
                <w:bCs/>
              </w:rPr>
              <w:t xml:space="preserve">1A) PRS bandwidth is within the active BWP and </w:t>
            </w:r>
          </w:p>
          <w:p>
            <w:pPr>
              <w:numPr>
                <w:ilvl w:val="2"/>
                <w:numId w:val="6"/>
              </w:numPr>
              <w:spacing w:after="120" w:line="252" w:lineRule="auto"/>
              <w:rPr>
                <w:rFonts w:eastAsia="MS Mincho"/>
                <w:bCs/>
              </w:rPr>
            </w:pPr>
            <w:r>
              <w:rPr>
                <w:rFonts w:eastAsia="MS Mincho"/>
                <w:bCs/>
              </w:rPr>
              <w:t xml:space="preserve">1B) Difference between the serving and neighboring cell [total] RX power is within [6] dB. </w:t>
            </w:r>
          </w:p>
          <w:p>
            <w:pPr>
              <w:numPr>
                <w:ilvl w:val="3"/>
                <w:numId w:val="6"/>
              </w:numPr>
              <w:spacing w:after="120" w:line="252" w:lineRule="auto"/>
              <w:rPr>
                <w:rFonts w:eastAsia="MS Mincho"/>
                <w:bCs/>
              </w:rPr>
            </w:pPr>
            <w:r>
              <w:rPr>
                <w:rFonts w:eastAsia="MS Mincho"/>
                <w:bCs/>
              </w:rPr>
              <w:t>FFS on the detailed RX power definition.</w:t>
            </w:r>
          </w:p>
          <w:p>
            <w:pPr>
              <w:rPr>
                <w:b/>
                <w:bCs/>
                <w:i/>
                <w:iCs/>
                <w:u w:val="single"/>
              </w:rPr>
            </w:pPr>
            <w:r>
              <w:rPr>
                <w:b/>
                <w:bCs/>
                <w:i/>
                <w:iCs/>
                <w:u w:val="single"/>
              </w:rPr>
              <w:t>Open issues:</w:t>
            </w:r>
          </w:p>
          <w:p>
            <w:pPr>
              <w:pStyle w:val="25"/>
              <w:numPr>
                <w:ilvl w:val="1"/>
                <w:numId w:val="6"/>
              </w:numPr>
              <w:spacing w:after="120"/>
              <w:ind w:left="360"/>
              <w:contextualSpacing w:val="0"/>
              <w:rPr>
                <w:rFonts w:ascii="Times New Roman" w:hAnsi="Times New Roman"/>
                <w:sz w:val="20"/>
              </w:rPr>
            </w:pPr>
            <w:r>
              <w:rPr>
                <w:rFonts w:ascii="Times New Roman" w:hAnsi="Times New Roman"/>
                <w:sz w:val="20"/>
              </w:rPr>
              <w:t xml:space="preserve">Condition 1B: </w:t>
            </w:r>
          </w:p>
          <w:p>
            <w:pPr>
              <w:pStyle w:val="25"/>
              <w:numPr>
                <w:ilvl w:val="1"/>
                <w:numId w:val="6"/>
              </w:numPr>
              <w:spacing w:after="120" w:line="252" w:lineRule="auto"/>
              <w:contextualSpacing w:val="0"/>
              <w:rPr>
                <w:rFonts w:ascii="Times New Roman" w:hAnsi="Times New Roman"/>
                <w:bCs/>
                <w:sz w:val="20"/>
              </w:rPr>
            </w:pPr>
            <w:r>
              <w:rPr>
                <w:rFonts w:ascii="Times New Roman" w:hAnsi="Times New Roman"/>
                <w:bCs/>
                <w:sz w:val="20"/>
              </w:rPr>
              <w:t>RX power definition:</w:t>
            </w:r>
          </w:p>
          <w:p>
            <w:pPr>
              <w:pStyle w:val="25"/>
              <w:numPr>
                <w:ilvl w:val="2"/>
                <w:numId w:val="6"/>
              </w:numPr>
              <w:spacing w:after="120" w:line="252" w:lineRule="auto"/>
              <w:contextualSpacing w:val="0"/>
              <w:rPr>
                <w:rFonts w:ascii="Times New Roman" w:hAnsi="Times New Roman"/>
                <w:bCs/>
                <w:sz w:val="20"/>
              </w:rPr>
            </w:pPr>
            <w:r>
              <w:rPr>
                <w:rFonts w:ascii="Times New Roman" w:hAnsi="Times New Roman"/>
                <w:bCs/>
                <w:sz w:val="20"/>
              </w:rPr>
              <w:t>Option 1:</w:t>
            </w:r>
            <w:r>
              <w:rPr>
                <w:rFonts w:hint="eastAsia" w:ascii="Times New Roman" w:hAnsi="Times New Roman" w:eastAsia="宋体"/>
                <w:bCs/>
                <w:sz w:val="20"/>
                <w:lang w:val="en-US" w:eastAsia="zh-CN"/>
              </w:rPr>
              <w:t xml:space="preserve"> </w:t>
            </w:r>
            <w:r>
              <w:rPr>
                <w:rFonts w:ascii="Times New Roman" w:hAnsi="Times New Roman"/>
                <w:bCs/>
                <w:sz w:val="20"/>
              </w:rPr>
              <w:t>Difference between the serving cell SSB and neighboring cell PRS RX EPRE is within [6] dB</w:t>
            </w:r>
          </w:p>
          <w:p>
            <w:pPr>
              <w:pStyle w:val="25"/>
              <w:numPr>
                <w:ilvl w:val="2"/>
                <w:numId w:val="6"/>
              </w:numPr>
              <w:spacing w:after="120" w:line="252" w:lineRule="auto"/>
              <w:contextualSpacing w:val="0"/>
              <w:rPr>
                <w:sz w:val="18"/>
                <w:szCs w:val="21"/>
                <w:lang w:val="en-US"/>
              </w:rPr>
            </w:pPr>
            <w:r>
              <w:rPr>
                <w:rFonts w:ascii="Times New Roman" w:hAnsi="Times New Roman"/>
                <w:bCs/>
                <w:sz w:val="20"/>
              </w:rPr>
              <w:t>Option 2:</w:t>
            </w:r>
            <w:r>
              <w:rPr>
                <w:rFonts w:hint="eastAsia" w:ascii="Times New Roman" w:hAnsi="Times New Roman" w:eastAsia="宋体"/>
                <w:bCs/>
                <w:sz w:val="20"/>
                <w:lang w:val="en-US" w:eastAsia="zh-CN"/>
              </w:rPr>
              <w:t xml:space="preserve"> </w:t>
            </w:r>
            <w:r>
              <w:rPr>
                <w:rFonts w:ascii="Times New Roman" w:hAnsi="Times New Roman"/>
                <w:bCs/>
                <w:sz w:val="20"/>
              </w:rPr>
              <w:t>Difference between the serving cell signal and neighboring cell PRS RX EPRE is within [6] dB.</w:t>
            </w:r>
          </w:p>
          <w:p>
            <w:pPr>
              <w:spacing w:before="240"/>
              <w:rPr>
                <w:rFonts w:eastAsiaTheme="minorEastAsia"/>
                <w:b/>
                <w:bCs/>
                <w:iCs/>
                <w:u w:val="single"/>
                <w:lang w:val="en-US" w:eastAsia="zh-CN"/>
              </w:rPr>
            </w:pPr>
            <w:r>
              <w:rPr>
                <w:rFonts w:eastAsiaTheme="minorEastAsia"/>
                <w:b/>
                <w:bCs/>
                <w:iCs/>
                <w:u w:val="single"/>
                <w:lang w:val="en-US" w:eastAsia="zh-CN"/>
              </w:rPr>
              <w:t xml:space="preserve">Issue 1-1-4A: Need for LMF to configure the UE to measure with a reduced Rx beam sweeping factor </w:t>
            </w:r>
          </w:p>
          <w:p>
            <w:pPr>
              <w:rPr>
                <w:b/>
                <w:bCs/>
                <w:i/>
                <w:iCs/>
                <w:u w:val="single"/>
              </w:rPr>
            </w:pPr>
            <w:r>
              <w:rPr>
                <w:b/>
                <w:bCs/>
                <w:i/>
                <w:iCs/>
                <w:u w:val="single"/>
              </w:rPr>
              <w:t>Open issues:</w:t>
            </w:r>
          </w:p>
          <w:p>
            <w:pPr>
              <w:pStyle w:val="25"/>
              <w:numPr>
                <w:ilvl w:val="0"/>
                <w:numId w:val="6"/>
              </w:numPr>
              <w:spacing w:after="120" w:line="252" w:lineRule="auto"/>
              <w:contextualSpacing w:val="0"/>
              <w:rPr>
                <w:rFonts w:ascii="Times New Roman" w:hAnsi="Times New Roman"/>
                <w:sz w:val="20"/>
                <w:lang w:eastAsia="ja-JP"/>
              </w:rPr>
            </w:pPr>
            <w:r>
              <w:rPr>
                <w:rFonts w:ascii="Times New Roman" w:hAnsi="Times New Roman"/>
                <w:sz w:val="20"/>
                <w:lang w:eastAsia="ja-JP"/>
              </w:rPr>
              <w:t xml:space="preserve">Whether UE needs to be configured by LMF to perform measurements with a reduced </w:t>
            </w:r>
            <w:r>
              <w:rPr>
                <w:rFonts w:ascii="Times New Roman" w:hAnsi="Times New Roman"/>
                <w:sz w:val="20"/>
              </w:rPr>
              <w:t>Rx beam sweeping factor?</w:t>
            </w:r>
          </w:p>
          <w:p>
            <w:pPr>
              <w:pStyle w:val="25"/>
              <w:numPr>
                <w:ilvl w:val="1"/>
                <w:numId w:val="6"/>
              </w:numPr>
              <w:spacing w:after="120" w:line="252" w:lineRule="auto"/>
              <w:contextualSpacing w:val="0"/>
              <w:rPr>
                <w:rFonts w:ascii="Times New Roman" w:hAnsi="Times New Roman"/>
                <w:sz w:val="20"/>
                <w:lang w:eastAsia="ja-JP"/>
              </w:rPr>
            </w:pPr>
            <w:r>
              <w:rPr>
                <w:rFonts w:ascii="Times New Roman" w:hAnsi="Times New Roman"/>
                <w:sz w:val="20"/>
              </w:rPr>
              <w:t>Option 1:</w:t>
            </w:r>
          </w:p>
          <w:p>
            <w:pPr>
              <w:pStyle w:val="25"/>
              <w:numPr>
                <w:ilvl w:val="2"/>
                <w:numId w:val="6"/>
              </w:numPr>
              <w:spacing w:after="120" w:line="252" w:lineRule="auto"/>
              <w:contextualSpacing w:val="0"/>
              <w:rPr>
                <w:rFonts w:ascii="Times New Roman" w:hAnsi="Times New Roman"/>
                <w:sz w:val="20"/>
                <w:lang w:eastAsia="ja-JP"/>
              </w:rPr>
            </w:pPr>
            <w:r>
              <w:rPr>
                <w:rFonts w:ascii="Times New Roman" w:hAnsi="Times New Roman"/>
                <w:sz w:val="20"/>
              </w:rPr>
              <w:t>Yes</w:t>
            </w:r>
          </w:p>
          <w:p>
            <w:pPr>
              <w:pStyle w:val="25"/>
              <w:numPr>
                <w:ilvl w:val="1"/>
                <w:numId w:val="6"/>
              </w:numPr>
              <w:spacing w:after="120" w:line="252" w:lineRule="auto"/>
              <w:contextualSpacing w:val="0"/>
              <w:rPr>
                <w:rFonts w:ascii="Times New Roman" w:hAnsi="Times New Roman"/>
                <w:sz w:val="20"/>
                <w:lang w:eastAsia="ja-JP"/>
              </w:rPr>
            </w:pPr>
            <w:r>
              <w:rPr>
                <w:rFonts w:ascii="Times New Roman" w:hAnsi="Times New Roman"/>
                <w:sz w:val="20"/>
              </w:rPr>
              <w:t>Option 2:</w:t>
            </w:r>
          </w:p>
          <w:p>
            <w:pPr>
              <w:pStyle w:val="25"/>
              <w:numPr>
                <w:ilvl w:val="2"/>
                <w:numId w:val="6"/>
              </w:numPr>
              <w:spacing w:after="120" w:line="252" w:lineRule="auto"/>
              <w:contextualSpacing w:val="0"/>
              <w:rPr>
                <w:rFonts w:hint="eastAsia" w:eastAsia="宋体"/>
                <w:color w:val="0070C0"/>
                <w:sz w:val="18"/>
                <w:szCs w:val="22"/>
                <w:lang w:val="en-US" w:eastAsia="zh-CN"/>
              </w:rPr>
            </w:pPr>
            <w:r>
              <w:rPr>
                <w:rFonts w:ascii="Times New Roman" w:hAnsi="Times New Roman"/>
                <w:sz w:val="20"/>
              </w:rPr>
              <w:t>No</w:t>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also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rPr>
          <w:rFonts w:hint="eastAsia"/>
          <w:b w:val="0"/>
          <w:bCs/>
          <w:color w:val="auto"/>
          <w:sz w:val="22"/>
          <w:szCs w:val="22"/>
          <w:lang w:val="en-US" w:eastAsia="zh-CN"/>
        </w:rPr>
      </w:pPr>
      <w:r>
        <w:rPr>
          <w:rFonts w:hint="eastAsia"/>
          <w:b/>
          <w:bCs w:val="0"/>
          <w:color w:val="auto"/>
          <w:sz w:val="22"/>
          <w:szCs w:val="22"/>
          <w:u w:val="single"/>
          <w:lang w:val="en-US" w:eastAsia="zh-CN"/>
        </w:rPr>
        <w:t>One or more conditions under which samples for AGC is reduced or not required for PRS measurements</w:t>
      </w:r>
    </w:p>
    <w:p>
      <w:pPr>
        <w:rPr>
          <w:rFonts w:hint="default"/>
          <w:b w:val="0"/>
          <w:bCs/>
          <w:sz w:val="22"/>
          <w:szCs w:val="22"/>
          <w:lang w:val="en-US" w:eastAsia="zh-CN"/>
        </w:rPr>
      </w:pPr>
      <w:r>
        <w:rPr>
          <w:rFonts w:hint="eastAsia"/>
          <w:b w:val="0"/>
          <w:bCs/>
          <w:sz w:val="22"/>
          <w:szCs w:val="22"/>
          <w:lang w:val="en-US" w:eastAsia="zh-CN"/>
        </w:rPr>
        <w:t>We agree with Option 1B, which is certain power difference between serving and neighbor cell signal power shall be maintained if AGC settling is to be avoided. AGC settling is essentially caused by the different received power from different cells, so the UE needs to re-adjust the AGC to properly receive signals from a new cell. If the power level from two cells are within a given margin, then the UE should be able to directly apply the AGC parameters from one cell to another without having to measure again the power level. We also propose to re-use the conclusion from the RF session that the maximum power imbalance between two cells is 6 dB to avoid AGC settling. The serving cell signal level can be represented by its SSB.</w:t>
      </w:r>
    </w:p>
    <w:p>
      <w:pPr>
        <w:pStyle w:val="35"/>
        <w:rPr>
          <w:rFonts w:hint="eastAsia"/>
          <w:b/>
          <w:bCs w:val="0"/>
          <w:sz w:val="22"/>
          <w:szCs w:val="22"/>
          <w:lang w:val="en-US" w:eastAsia="zh-CN"/>
        </w:rPr>
      </w:pPr>
      <w:r>
        <w:rPr>
          <w:rFonts w:hint="eastAsia"/>
          <w:b/>
          <w:bCs w:val="0"/>
          <w:sz w:val="22"/>
          <w:szCs w:val="22"/>
          <w:lang w:val="en-US" w:eastAsia="zh-CN"/>
        </w:rPr>
        <w:t>AGC settling can be avoided if difference between the serving cell SSB and neighboring cell PRS RX EPRE is within 6 dB.</w:t>
      </w:r>
    </w:p>
    <w:p>
      <w:pPr>
        <w:rPr>
          <w:rFonts w:hint="eastAsia"/>
          <w:b w:val="0"/>
          <w:bCs/>
          <w:sz w:val="22"/>
          <w:szCs w:val="22"/>
          <w:lang w:val="en-US" w:eastAsia="zh-CN"/>
        </w:rPr>
      </w:pPr>
    </w:p>
    <w:p>
      <w:pPr>
        <w:rPr>
          <w:rFonts w:eastAsia="Yu Mincho"/>
          <w:b/>
          <w:color w:val="auto"/>
          <w:sz w:val="22"/>
          <w:szCs w:val="22"/>
          <w:u w:val="single"/>
          <w:lang w:eastAsia="ko-KR"/>
        </w:rPr>
      </w:pPr>
      <w:r>
        <w:rPr>
          <w:rFonts w:eastAsiaTheme="minorEastAsia"/>
          <w:b/>
          <w:bCs/>
          <w:iCs/>
          <w:u w:val="single"/>
          <w:lang w:val="en-US" w:eastAsia="zh-CN"/>
        </w:rPr>
        <w:t>Issue 1-1-4A: Need for LMF to configure the UE to measure with a reduced Rx beam sweeping factor</w:t>
      </w:r>
    </w:p>
    <w:p>
      <w:pPr>
        <w:rPr>
          <w:rFonts w:hint="eastAsia" w:eastAsia="宋体"/>
          <w:b w:val="0"/>
          <w:bCs/>
          <w:color w:val="auto"/>
          <w:sz w:val="22"/>
          <w:szCs w:val="22"/>
          <w:u w:val="none"/>
          <w:lang w:val="en-US" w:eastAsia="zh-CN"/>
        </w:rPr>
      </w:pPr>
      <w:r>
        <w:rPr>
          <w:rFonts w:hint="eastAsia" w:eastAsia="宋体"/>
          <w:b w:val="0"/>
          <w:bCs/>
          <w:color w:val="auto"/>
          <w:sz w:val="22"/>
          <w:szCs w:val="22"/>
          <w:u w:val="none"/>
          <w:lang w:val="en-US" w:eastAsia="zh-CN"/>
        </w:rPr>
        <w:t>Based on the discussions, we understand that the discussions are related to a new UE capability to support less Rx beams. If this is a new UE capability then the assumption shall be that the positioning accuracy shall be the same as when the number of Rx beams is 8. Otherwise a new capability is not needed and legacy UEs can all simply do beam sweeping with less beams, under which case a performance loss is to be expected.</w:t>
      </w:r>
    </w:p>
    <w:p>
      <w:pPr>
        <w:rPr>
          <w:rFonts w:hint="default" w:eastAsia="宋体"/>
          <w:b w:val="0"/>
          <w:bCs/>
          <w:color w:val="auto"/>
          <w:sz w:val="22"/>
          <w:szCs w:val="22"/>
          <w:u w:val="none"/>
          <w:lang w:val="en-US" w:eastAsia="zh-CN"/>
        </w:rPr>
      </w:pPr>
      <w:r>
        <w:rPr>
          <w:rFonts w:hint="eastAsia" w:eastAsia="宋体"/>
          <w:b w:val="0"/>
          <w:bCs/>
          <w:color w:val="auto"/>
          <w:sz w:val="22"/>
          <w:szCs w:val="22"/>
          <w:u w:val="none"/>
          <w:lang w:val="en-US" w:eastAsia="zh-CN"/>
        </w:rPr>
        <w:t>To ensure there is no performance loss, we prefer that the UE needs to be configured by LMF to perform measurements with a reduced Rx beam sweeping factor.</w:t>
      </w:r>
    </w:p>
    <w:p>
      <w:pPr>
        <w:pStyle w:val="35"/>
        <w:rPr>
          <w:rFonts w:hint="eastAsia"/>
          <w:b w:val="0"/>
          <w:bCs/>
          <w:sz w:val="22"/>
          <w:szCs w:val="22"/>
          <w:lang w:val="en-US" w:eastAsia="zh-CN"/>
        </w:rPr>
      </w:pPr>
      <w:r>
        <w:rPr>
          <w:rFonts w:hint="eastAsia" w:eastAsia="宋体"/>
          <w:color w:val="auto"/>
          <w:szCs w:val="24"/>
          <w:lang w:val="en-US" w:eastAsia="zh-CN"/>
        </w:rPr>
        <w:t>The UE needs to be configured by LMF to perform measurements with a reduced Rx beam sweeping factor.</w:t>
      </w:r>
      <w:r>
        <w:rPr>
          <w:rFonts w:hint="eastAsia"/>
          <w:b/>
          <w:bCs w:val="0"/>
          <w:sz w:val="22"/>
          <w:szCs w:val="22"/>
          <w:lang w:val="en-US" w:eastAsia="zh-CN"/>
        </w:rPr>
        <w:t xml:space="preserve"> </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AGC settling can be avoided if difference between the serving cell SSB and neighboring cell PRS RX EPRE is within 6 dB</w:t>
      </w:r>
      <w:r>
        <w:rPr>
          <w:rFonts w:hint="eastAsia" w:eastAsia="宋体"/>
          <w:b/>
          <w:bCs w:val="0"/>
          <w:color w:val="auto"/>
          <w:szCs w:val="24"/>
          <w:lang w:val="en-US" w:eastAsia="zh-CN"/>
        </w:rPr>
        <w:t>.</w:t>
      </w:r>
    </w:p>
    <w:p>
      <w:pPr>
        <w:rPr>
          <w:rFonts w:hint="eastAsia"/>
          <w:b/>
          <w:bCs w:val="0"/>
          <w:sz w:val="22"/>
          <w:szCs w:val="22"/>
          <w:lang w:val="en-US" w:eastAsia="zh-CN"/>
        </w:rPr>
      </w:pPr>
      <w:r>
        <w:rPr>
          <w:rFonts w:hint="eastAsia"/>
          <w:b/>
          <w:bCs w:val="0"/>
          <w:sz w:val="22"/>
          <w:szCs w:val="22"/>
          <w:lang w:val="en-US" w:eastAsia="zh-CN"/>
        </w:rPr>
        <w:t xml:space="preserve">Proposal 2: </w:t>
      </w:r>
      <w:r>
        <w:rPr>
          <w:rFonts w:hint="eastAsia" w:eastAsia="宋体"/>
          <w:b/>
          <w:bCs w:val="0"/>
          <w:color w:val="auto"/>
          <w:sz w:val="22"/>
          <w:szCs w:val="22"/>
          <w:lang w:val="en-US" w:eastAsia="zh-CN"/>
        </w:rPr>
        <w:t>The UE needs to be configured by LMF to perform measurements with a reduced Rx beam sweeping factor</w:t>
      </w:r>
      <w:r>
        <w:rPr>
          <w:rFonts w:hint="eastAsia" w:eastAsia="宋体"/>
          <w:b/>
          <w:bCs w:val="0"/>
          <w:color w:val="auto"/>
          <w:szCs w:val="24"/>
          <w:lang w:val="en-US" w:eastAsia="zh-CN"/>
        </w:rPr>
        <w:t>.</w:t>
      </w: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R4-2202776</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601D62"/>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30928"/>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A4E7F18"/>
    <w:rsid w:val="1A540632"/>
    <w:rsid w:val="1B3329B5"/>
    <w:rsid w:val="1B595D85"/>
    <w:rsid w:val="1B7F155B"/>
    <w:rsid w:val="1BAE2A00"/>
    <w:rsid w:val="1C525206"/>
    <w:rsid w:val="1C5E2F54"/>
    <w:rsid w:val="1CA0799D"/>
    <w:rsid w:val="1CB80D82"/>
    <w:rsid w:val="1CDA242C"/>
    <w:rsid w:val="1CFB2AC1"/>
    <w:rsid w:val="1D134EED"/>
    <w:rsid w:val="1D1F1294"/>
    <w:rsid w:val="1D2062CF"/>
    <w:rsid w:val="1D85535E"/>
    <w:rsid w:val="1DB41841"/>
    <w:rsid w:val="1DE45821"/>
    <w:rsid w:val="1DF64986"/>
    <w:rsid w:val="1E8806BC"/>
    <w:rsid w:val="1EA137E3"/>
    <w:rsid w:val="1EC97F44"/>
    <w:rsid w:val="1EFE118E"/>
    <w:rsid w:val="1F0936F5"/>
    <w:rsid w:val="1F17474D"/>
    <w:rsid w:val="1F2B10F9"/>
    <w:rsid w:val="1F711839"/>
    <w:rsid w:val="1F8A172B"/>
    <w:rsid w:val="1FA564C4"/>
    <w:rsid w:val="1FBF3FCE"/>
    <w:rsid w:val="200D067C"/>
    <w:rsid w:val="20811B82"/>
    <w:rsid w:val="20A662B2"/>
    <w:rsid w:val="20D958F0"/>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207862"/>
    <w:rsid w:val="248F188B"/>
    <w:rsid w:val="24BD0518"/>
    <w:rsid w:val="24E91488"/>
    <w:rsid w:val="25077EC5"/>
    <w:rsid w:val="256A021C"/>
    <w:rsid w:val="25962669"/>
    <w:rsid w:val="25C20278"/>
    <w:rsid w:val="25C545AD"/>
    <w:rsid w:val="262D62D9"/>
    <w:rsid w:val="26681CAB"/>
    <w:rsid w:val="267E5FCE"/>
    <w:rsid w:val="273D6335"/>
    <w:rsid w:val="27572E0B"/>
    <w:rsid w:val="2762235C"/>
    <w:rsid w:val="276537E8"/>
    <w:rsid w:val="278A7409"/>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580800"/>
    <w:rsid w:val="2CEE6B8D"/>
    <w:rsid w:val="2CF93A32"/>
    <w:rsid w:val="2D233DAE"/>
    <w:rsid w:val="2D8E403A"/>
    <w:rsid w:val="2DF9626C"/>
    <w:rsid w:val="2E145F76"/>
    <w:rsid w:val="2E801E3E"/>
    <w:rsid w:val="2EA86D09"/>
    <w:rsid w:val="2EB0718B"/>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3F5D54"/>
    <w:rsid w:val="364E69C5"/>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6B2648"/>
    <w:rsid w:val="3B981241"/>
    <w:rsid w:val="3BBB2E68"/>
    <w:rsid w:val="3CC5729E"/>
    <w:rsid w:val="3CCE203C"/>
    <w:rsid w:val="3D087EC6"/>
    <w:rsid w:val="3D0C1655"/>
    <w:rsid w:val="3D1A4611"/>
    <w:rsid w:val="3D4E48C8"/>
    <w:rsid w:val="3D50421B"/>
    <w:rsid w:val="3D77737D"/>
    <w:rsid w:val="3DC04E13"/>
    <w:rsid w:val="3DD244E7"/>
    <w:rsid w:val="3E132617"/>
    <w:rsid w:val="3E1747FA"/>
    <w:rsid w:val="3E5B41D6"/>
    <w:rsid w:val="3E5E5EDD"/>
    <w:rsid w:val="3E964B98"/>
    <w:rsid w:val="3ECE16FA"/>
    <w:rsid w:val="3F3542FD"/>
    <w:rsid w:val="3F4118C8"/>
    <w:rsid w:val="3F5C676A"/>
    <w:rsid w:val="3F71362D"/>
    <w:rsid w:val="3F8A42CB"/>
    <w:rsid w:val="3FBE1A7F"/>
    <w:rsid w:val="3FE449E2"/>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EB2BEA"/>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173946"/>
    <w:rsid w:val="4C293566"/>
    <w:rsid w:val="4C4E4313"/>
    <w:rsid w:val="4C553BEB"/>
    <w:rsid w:val="4C723787"/>
    <w:rsid w:val="4C783FE1"/>
    <w:rsid w:val="4CF05EAC"/>
    <w:rsid w:val="4D102CB4"/>
    <w:rsid w:val="4D9E609E"/>
    <w:rsid w:val="4E0243C8"/>
    <w:rsid w:val="4E345636"/>
    <w:rsid w:val="4E6139A5"/>
    <w:rsid w:val="4E652C5C"/>
    <w:rsid w:val="4E9105E7"/>
    <w:rsid w:val="4EB053BD"/>
    <w:rsid w:val="4EE443B3"/>
    <w:rsid w:val="4F7E67BB"/>
    <w:rsid w:val="4FBC6FAF"/>
    <w:rsid w:val="4FDC68F3"/>
    <w:rsid w:val="4FEA1837"/>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8702B6"/>
    <w:rsid w:val="5CE80244"/>
    <w:rsid w:val="5CEB6783"/>
    <w:rsid w:val="5D041ECD"/>
    <w:rsid w:val="5D5E1AC8"/>
    <w:rsid w:val="5E051414"/>
    <w:rsid w:val="5E206741"/>
    <w:rsid w:val="5E2D4C21"/>
    <w:rsid w:val="5E820037"/>
    <w:rsid w:val="5EE41E2E"/>
    <w:rsid w:val="5EF332F6"/>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5964ED"/>
    <w:rsid w:val="676541F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9A1C3B"/>
    <w:rsid w:val="6C42065A"/>
    <w:rsid w:val="6C6F44FD"/>
    <w:rsid w:val="6C9E7796"/>
    <w:rsid w:val="6CB759F8"/>
    <w:rsid w:val="6CD4731D"/>
    <w:rsid w:val="6D0E374B"/>
    <w:rsid w:val="6D121910"/>
    <w:rsid w:val="6D3205F0"/>
    <w:rsid w:val="6D4C048E"/>
    <w:rsid w:val="6D5301B7"/>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37F22"/>
    <w:rsid w:val="70D46C56"/>
    <w:rsid w:val="70EA7511"/>
    <w:rsid w:val="71143E21"/>
    <w:rsid w:val="71616F10"/>
    <w:rsid w:val="719955E9"/>
    <w:rsid w:val="71C93578"/>
    <w:rsid w:val="71DA7124"/>
    <w:rsid w:val="721D44E3"/>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A12601"/>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DD652E7"/>
    <w:rsid w:val="7E630B4F"/>
    <w:rsid w:val="7E7F1DC3"/>
    <w:rsid w:val="7E7F4EA4"/>
    <w:rsid w:val="7E8B6D0C"/>
    <w:rsid w:val="7E9A2799"/>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2022-02-14T15:07:47Z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